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A" w:rsidRPr="007326C0" w:rsidRDefault="006E158A" w:rsidP="006E158A">
      <w:pPr>
        <w:contextualSpacing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7326C0">
        <w:rPr>
          <w:rFonts w:ascii="Times New Roman" w:hAnsi="Times New Roman"/>
          <w:b/>
          <w:sz w:val="36"/>
          <w:szCs w:val="36"/>
        </w:rPr>
        <w:t>Сравнителен анализ на „Прелюд</w:t>
      </w:r>
      <w:r w:rsidRPr="007326C0">
        <w:rPr>
          <w:rFonts w:ascii="Times New Roman" w:eastAsia="Times New Roman" w:hAnsi="Times New Roman"/>
          <w:sz w:val="36"/>
          <w:szCs w:val="36"/>
          <w:lang w:eastAsia="bg-BG"/>
        </w:rPr>
        <w:t>“</w:t>
      </w:r>
      <w:r w:rsidRPr="007326C0">
        <w:rPr>
          <w:rFonts w:ascii="Times New Roman" w:hAnsi="Times New Roman"/>
          <w:b/>
          <w:sz w:val="36"/>
          <w:szCs w:val="36"/>
        </w:rPr>
        <w:t xml:space="preserve"> из Три пиеси - „Прелюд, Ноктюрно и Етюд</w:t>
      </w:r>
      <w:r w:rsidRPr="007326C0">
        <w:rPr>
          <w:rFonts w:ascii="Times New Roman" w:eastAsia="Times New Roman" w:hAnsi="Times New Roman"/>
          <w:sz w:val="36"/>
          <w:szCs w:val="36"/>
          <w:lang w:eastAsia="bg-BG"/>
        </w:rPr>
        <w:t>“</w:t>
      </w:r>
      <w:r w:rsidRPr="007326C0">
        <w:rPr>
          <w:rFonts w:ascii="Times New Roman" w:hAnsi="Times New Roman"/>
          <w:b/>
          <w:sz w:val="36"/>
          <w:szCs w:val="36"/>
        </w:rPr>
        <w:t xml:space="preserve"> на Веселин Стоянов и „Прелюд</w:t>
      </w:r>
      <w:r w:rsidRPr="007326C0">
        <w:rPr>
          <w:rFonts w:ascii="Times New Roman" w:eastAsia="Times New Roman" w:hAnsi="Times New Roman"/>
          <w:sz w:val="36"/>
          <w:szCs w:val="36"/>
          <w:lang w:eastAsia="bg-BG"/>
        </w:rPr>
        <w:t>“</w:t>
      </w:r>
      <w:r w:rsidRPr="007326C0">
        <w:rPr>
          <w:rFonts w:ascii="Times New Roman" w:hAnsi="Times New Roman"/>
          <w:b/>
          <w:sz w:val="36"/>
          <w:szCs w:val="36"/>
        </w:rPr>
        <w:t xml:space="preserve"> на Филип </w:t>
      </w:r>
      <w:r w:rsidRPr="007326C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7326C0">
        <w:rPr>
          <w:rFonts w:ascii="Times New Roman" w:hAnsi="Times New Roman"/>
          <w:b/>
          <w:sz w:val="36"/>
          <w:szCs w:val="36"/>
        </w:rPr>
        <w:t>Павлов</w:t>
      </w:r>
    </w:p>
    <w:p w:rsidR="006E158A" w:rsidRPr="007326C0" w:rsidRDefault="006E158A" w:rsidP="006E158A">
      <w:pPr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6E158A" w:rsidRPr="007326C0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6E158A" w:rsidRPr="0050255F" w:rsidRDefault="006E158A" w:rsidP="006E158A">
      <w:pPr>
        <w:pStyle w:val="ListParagraph"/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b/>
          <w:sz w:val="28"/>
          <w:szCs w:val="28"/>
          <w:lang w:eastAsia="bg-BG"/>
        </w:rPr>
        <w:t>Пресечни точки между двамата композитори</w:t>
      </w:r>
    </w:p>
    <w:p w:rsidR="006E158A" w:rsidRPr="00A618C5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Филип Павлов започва обучението си по композиция в клас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п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роф. Веселин Стоянов, но </w:t>
      </w:r>
      <w:r w:rsidRPr="006B776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тъй като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именитият композитор</w:t>
      </w:r>
      <w:r w:rsidRPr="006B776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приключва земния си път през 1969 година, </w:t>
      </w:r>
      <w:r w:rsidRPr="00A618C5">
        <w:rPr>
          <w:rFonts w:ascii="Times New Roman" w:eastAsia="Times New Roman" w:hAnsi="Times New Roman"/>
          <w:sz w:val="28"/>
          <w:szCs w:val="28"/>
          <w:lang w:eastAsia="bg-BG"/>
        </w:rPr>
        <w:t>20-годишният Филип продължава обучението си в Българската Държавна Консерватория при проф. Александър Райчев.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„Не съм избирал по величина при кого да уча, а отидох при композиторите, които най-много ми им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понираха по един или друг начин“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разказва самия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Филип Павлов за своите преподаватели и духовни учители в св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ета на композиторското изкуство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интервю за 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ългарското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ационално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адио.</w:t>
      </w:r>
      <w:r>
        <w:rPr>
          <w:rStyle w:val="FootnoteReference"/>
          <w:rFonts w:ascii="Times New Roman" w:eastAsia="Times New Roman" w:hAnsi="Times New Roman"/>
          <w:sz w:val="28"/>
          <w:szCs w:val="28"/>
          <w:lang w:eastAsia="bg-BG"/>
        </w:rPr>
        <w:footnoteReference w:id="1"/>
      </w: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Не са малко допирните точки на двамата български 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омпозитори Веселин Стоянов 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(1902 – 1969)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Филип Павлов 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(1949)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представители на </w:t>
      </w:r>
      <w:r w:rsidRPr="00A618C5">
        <w:rPr>
          <w:rFonts w:ascii="Times New Roman" w:eastAsia="Times New Roman" w:hAnsi="Times New Roman"/>
          <w:sz w:val="28"/>
          <w:szCs w:val="28"/>
          <w:lang w:eastAsia="bg-BG"/>
        </w:rPr>
        <w:t>различни творчески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поколения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творчестото и на двамата можем да открием аф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инитет към гротеската и хумора.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Веселин Стоянов създава Гротескната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сюита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„Бай Ганьо“ 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194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по едноименното произведение на 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леко Конст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антинов, както 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комичните опери „Женско царство“ и „Хитър Петър“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Освен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като автор 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хумористични стихове,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Филип Павлов </w:t>
      </w:r>
      <w:r w:rsidRPr="00A618C5">
        <w:rPr>
          <w:rFonts w:ascii="Times New Roman" w:eastAsia="Times New Roman" w:hAnsi="Times New Roman"/>
          <w:sz w:val="28"/>
          <w:szCs w:val="28"/>
          <w:lang w:eastAsia="bg-BG"/>
        </w:rPr>
        <w:t>успява да създаде това настроение</w:t>
      </w:r>
      <w:r w:rsidRPr="006B7767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и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своите музикални произведения. Е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то как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той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обяснява идеята за написването на две от своите детски пиеси за пиано – „Моет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 ехо фантазира“ и „Песенчица“: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„„Моето ехо фантазира“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е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моя любима творба.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Посветил съм я на изпълнители, които като натиснат педала, забравят да го пуснат.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Това е идеята ми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по двадесет такта пианистът непрекъснато да държи педала и да слушаме какво прави ехото.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Що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се отнася до пиесата „Песенчица“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, аз много рядко пиша в направление, което може да се определи като фолклорно.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нея търсен по-детско и наивно звучене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57E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И двамата 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омпозитори пишат както клавирна и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камерна, така и симфонична музика.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Немалка част от творчеството и на двамата е посветено на миниатюрата и по-специално на пиесите за деца.</w:t>
      </w:r>
    </w:p>
    <w:p w:rsidR="006E158A" w:rsidRPr="001F0D8F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F0D8F">
        <w:rPr>
          <w:rFonts w:ascii="Times New Roman" w:eastAsia="Times New Roman" w:hAnsi="Times New Roman"/>
          <w:b/>
          <w:sz w:val="28"/>
          <w:szCs w:val="28"/>
          <w:lang w:eastAsia="bg-BG"/>
        </w:rPr>
        <w:t>Кратък истор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ически преглед на жанра „п</w:t>
      </w:r>
      <w:r w:rsidRPr="001F0D8F">
        <w:rPr>
          <w:rFonts w:ascii="Times New Roman" w:eastAsia="Times New Roman" w:hAnsi="Times New Roman"/>
          <w:b/>
          <w:sz w:val="28"/>
          <w:szCs w:val="28"/>
          <w:lang w:eastAsia="bg-BG"/>
        </w:rPr>
        <w:t>релюд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Прелюдът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е инструментален жанр, възникнал през 17 век.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A7BB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Неговите корени можем да търсим 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импровизациите, които обикновено е правил органистът по време на църковната служба преди встъплението на певците.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Това определя свободната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композиционна структура, както и обстоятелството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, че прелюдията може да бъде с полифонична или хомофонн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фактура.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Ако разглед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аме развитието на жанра „прелюд“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през различните музикални периоди и в творчеството на композиторите от различни националности ще забележим общата тенденция към оформяне на жанра като самостоятелна творба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(а не като встъпление към друга такава).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Ако през 17 век прелюдията е служела за подготвяне на вокалните партии в църквата,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то в творчеството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Бах прелюдът достига своя зрял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етап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напълно разгръща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своя потенциал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като част от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инструментал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цикъл Прелюд 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ф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уга.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рез следващите векове прелюдът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придобива все по-голяма самостоятелност,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като през епохата на р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омантизма композиторите създават образци на инструменталното изкуство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този жанр: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Фредерик Шопен – 24 прелюда, оп. 28, Сергей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Рахманинов – 10 прелюда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оп.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23, 13 прелюда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оп.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32 за пиано, които са във всички 24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мажорни и минорни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тоналност, Цезар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Франк – Прелюд, Фуга и Вариации за орган и др.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Разбира се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през 20 век също не 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ипсват примери за ролята на прелюда. Интерлюдията в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proofErr w:type="spellStart"/>
      <w:r w:rsidRPr="0050255F">
        <w:rPr>
          <w:rFonts w:ascii="Times New Roman" w:eastAsia="Times New Roman" w:hAnsi="Times New Roman"/>
          <w:sz w:val="28"/>
          <w:szCs w:val="28"/>
          <w:lang w:val="en-GB" w:eastAsia="bg-BG"/>
        </w:rPr>
        <w:t>Ludus</w:t>
      </w:r>
      <w:proofErr w:type="spellEnd"/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0255F">
        <w:rPr>
          <w:rFonts w:ascii="Times New Roman" w:eastAsia="Times New Roman" w:hAnsi="Times New Roman"/>
          <w:sz w:val="28"/>
          <w:szCs w:val="28"/>
          <w:lang w:val="en-GB" w:eastAsia="bg-BG"/>
        </w:rPr>
        <w:t>tonalis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Паул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Хиндемит е едно своеобразно връщане към традициите на 17 век.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Ролята му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встъпление към „играта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тоналности“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– отново преминаване през 24 мажорни и минорни тоналности с мостове между отделните фуги – интерлюдии.</w:t>
      </w: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През 1932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г. Веселин Стоянов пише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сюитата за пиано „Прелюд, Сарабанда  и Токата“</w:t>
      </w:r>
      <w:r w:rsidR="00AB79DE" w:rsidRPr="00E727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, която по редица параметри би могла да се сравни с </w:t>
      </w:r>
      <w:r w:rsidR="000A6EA6" w:rsidRPr="00E727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творбата на Клод Дебюси „За пианото“, чиито три части имат същите заглавия.</w:t>
      </w:r>
      <w:r w:rsidR="00C36275" w:rsidRPr="00E72719">
        <w:rPr>
          <w:rStyle w:val="FootnoteReference"/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footnoteReference w:id="2"/>
      </w:r>
      <w:r w:rsidR="000A6EA6" w:rsidRPr="00E727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E7271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базата на съпоставян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ето на бърза, бавна, бърза част Стоянов развив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всяка част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до степен на завършена, самостоятелна пиеса, за да може да бъде изпълнявана самостоятелно.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Композицията е издадена от виенското издателство „Унивресал едисион“.  През 1956 г. следва нов цикъл – „Прелюд, Ноктюрно и Етюд“, отново на база съпоставяне на бърза (в случая по-умерена), бавна ( с развит по-бърз дял) и бърза част. Тази творба добива далеч по-голяма популярност и влиза трайно в репертоара на пианистите.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През седемдесетте години на 20 век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малко след смъртта 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роф.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Веселин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Стоянов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93A32">
        <w:t xml:space="preserve"> </w:t>
      </w:r>
      <w:r w:rsidRPr="00A93A32">
        <w:rPr>
          <w:rFonts w:ascii="Times New Roman" w:eastAsia="Times New Roman" w:hAnsi="Times New Roman"/>
          <w:sz w:val="28"/>
          <w:szCs w:val="28"/>
          <w:lang w:eastAsia="bg-BG"/>
        </w:rPr>
        <w:t xml:space="preserve">неговият ученик Филип Павлов посвещава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неговата памет </w:t>
      </w:r>
      <w:r w:rsidRPr="00A93A32">
        <w:rPr>
          <w:rFonts w:ascii="Times New Roman" w:eastAsia="Times New Roman" w:hAnsi="Times New Roman"/>
          <w:sz w:val="28"/>
          <w:szCs w:val="28"/>
          <w:lang w:eastAsia="bg-BG"/>
        </w:rPr>
        <w:t>свой прелюд за пиано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В следващото изложение ще бъде направен опит за съпоставка на двете пиеси въз основа на жанрови, стилистични, музикално-изразни и дори философско-естетически белези на двете творби.</w:t>
      </w:r>
    </w:p>
    <w:p w:rsidR="006E158A" w:rsidRPr="005F55A4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Композиционни решения в „Прелюд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от Веселин Стоянов и „Прелюд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“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Филип </w:t>
      </w:r>
      <w:r w:rsidRPr="005F55A4">
        <w:rPr>
          <w:rFonts w:ascii="Times New Roman" w:eastAsia="Times New Roman" w:hAnsi="Times New Roman"/>
          <w:b/>
          <w:sz w:val="28"/>
          <w:szCs w:val="28"/>
          <w:lang w:eastAsia="bg-BG"/>
        </w:rPr>
        <w:t>Павлов</w:t>
      </w:r>
      <w:r>
        <w:rPr>
          <w:rStyle w:val="FootnoteReference"/>
          <w:rFonts w:ascii="Times New Roman" w:eastAsia="Times New Roman" w:hAnsi="Times New Roman"/>
          <w:b/>
          <w:sz w:val="28"/>
          <w:szCs w:val="28"/>
          <w:lang w:eastAsia="bg-BG"/>
        </w:rPr>
        <w:footnoteReference w:id="3"/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Веселин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Стоянов в до диез минор е композиран в пр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оста триделна форма с развиващ среден дял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Опростена и неизменна, ра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вномерната осминова пулсация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от етюден тип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оформя кратка, но значима кулминация преди съкратената реприза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Ш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ироко развит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ият период с повторен строеж, в който е композиран първият дял,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крие опасност от еднообразие, което композиторът избягва не само посредством структурното количествено неравенство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полуизреченията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(първото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е 13 такта, а второто –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11), но и по пътя на умелото използване на хармоничните средства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първоначално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темата се явява в до диез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минор – дорийски лад 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вж. Пример 1а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а при повторното изложение –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едноименния мажор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миксолидийски лад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вж. Пример 1б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 модулация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в ми минор.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Тематичното развитие на първия дял се характеризира с мотивна вариантност, присъща на фолклорните инструментални образци от хороводен тип.</w:t>
      </w:r>
    </w:p>
    <w:p w:rsidR="006E158A" w:rsidRPr="003070C0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070C0">
        <w:rPr>
          <w:rFonts w:ascii="Times New Roman" w:eastAsia="Times New Roman" w:hAnsi="Times New Roman"/>
          <w:b/>
          <w:sz w:val="28"/>
          <w:szCs w:val="28"/>
          <w:lang w:eastAsia="bg-BG"/>
        </w:rPr>
        <w:t>Пример 1</w:t>
      </w:r>
    </w:p>
    <w:p w:rsidR="006E158A" w:rsidRPr="00F73BB3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>а</w:t>
      </w:r>
      <w:r w:rsidRPr="000C1E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) 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>Веселин Стоянов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1 – 2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4343400" cy="145542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Pr="00F73BB3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б</w:t>
      </w:r>
      <w:r w:rsidRPr="000C1E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) 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>Веселин Стоянов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14 – 15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4427220" cy="1264920"/>
            <wp:effectExtent l="1905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П2 е композиран същ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 в диезна минорна тоналност – ф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а диез минор.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Фор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мата е доста по-свободна, но с добре забележима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триде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лност, ясно изразена репризност (която по подобие на прелюда от Стоянов е съкратена)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кратък, но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доста разгърнат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динамическо отношение развиващ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среден дял.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Първият дял на П2 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хомофонна фактура, а темата се експонира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 рамките на период.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Отново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както при П1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първото изложение на темата е в дорийски минор,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дорийската секста се появява още в първия такт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вж. Пример 2а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 Не след дълго прозвучава и паралелния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 мажор – л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а мажор 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такт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9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вж. Пример 2б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Темпото е </w:t>
      </w:r>
      <w:r w:rsidRPr="0050255F">
        <w:rPr>
          <w:rFonts w:ascii="Times New Roman" w:eastAsia="Times New Roman" w:hAnsi="Times New Roman"/>
          <w:sz w:val="28"/>
          <w:szCs w:val="28"/>
          <w:lang w:val="en-GB" w:eastAsia="bg-BG"/>
        </w:rPr>
        <w:t>Grave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, движението е в четвъртини и осмини, сякаш напомнящи отмерени стъпки или неизменното тиктакане на часовников механизъм.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Цяло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тното настроение на експозиционния дял е носталгично.</w:t>
      </w:r>
    </w:p>
    <w:p w:rsidR="00E72719" w:rsidRDefault="00E72719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E158A" w:rsidRPr="003070C0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Пример 2</w:t>
      </w:r>
    </w:p>
    <w:p w:rsidR="006E158A" w:rsidRPr="00F73BB3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>а</w:t>
      </w:r>
      <w:r w:rsidRPr="000C1E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Филип Павлов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1 – 2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3337560" cy="1615440"/>
            <wp:effectExtent l="1905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19" w:rsidRDefault="00E72719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E158A" w:rsidRPr="00F73BB3" w:rsidRDefault="006E158A" w:rsidP="006E158A">
      <w:pPr>
        <w:shd w:val="clear" w:color="auto" w:fill="FFFFFF"/>
        <w:tabs>
          <w:tab w:val="left" w:pos="7759"/>
        </w:tabs>
        <w:spacing w:before="0"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б</w:t>
      </w:r>
      <w:r w:rsidRPr="000C1E9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Филип Павлов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9 - 10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3550920" cy="1752600"/>
            <wp:effectExtent l="1905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Вторият дял на П1 съдържа относително нов тематичен материал.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Докато развитието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първия дял протича спокойно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новата фаза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донася общо повишение на тонуса и 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независимо от новия материал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има развиваща функция.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Налице са </w:t>
      </w:r>
      <w:r w:rsidRPr="00905E64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относителна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смяна на фактурата и характера на мелодическото движение.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Докато в първия дял тъканта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двуслойна, а мелодията съдържа постè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пенни ходове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почти ненарушавани от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скокове, още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началото на втория дял фактурата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се усложнява, появяват се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вътрешни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гласов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е, които я насищат с напрежение. М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елодичната линия рязко изменя профила си чрез широки интервали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като с особена активност се отли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чава септимовият скок, който настойчиво се повтаря в първите три такта.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Това придава по-развълнуван и неспокоен характер на музиката.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B0FFB">
        <w:rPr>
          <w:rFonts w:ascii="Times New Roman" w:eastAsia="Times New Roman" w:hAnsi="Times New Roman"/>
          <w:b/>
          <w:sz w:val="28"/>
          <w:szCs w:val="28"/>
          <w:lang w:eastAsia="bg-BG"/>
        </w:rPr>
        <w:t>Пример 3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>Веселин Стоянов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25 – 27</w:t>
      </w:r>
    </w:p>
    <w:p w:rsidR="006E158A" w:rsidRPr="00BB0FFB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5951220" cy="1493520"/>
            <wp:effectExtent l="1905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Отделните фази на средния дял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 са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еднакви по своята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драматургична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интензивност.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Началната фаза протича значително по-спокойно, запазвайки в общи линии регистровото разположение 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гласовете.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Втората фаза внася просветление в колор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ита чрез смяна на регистъра. Тя съдържа нови фактурни елементи с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октавови скокове.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Третата фаза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 най-интензивна.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 нея композиционното развитие е най-усложнено, хармоничното напражение е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изострено, създавайки устреме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ност към доминантата на основната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тоналност.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Трите фази на средния дял предст</w:t>
      </w:r>
      <w:r w:rsidRPr="0050255F">
        <w:rPr>
          <w:rFonts w:ascii="Times New Roman" w:eastAsia="Times New Roman" w:hAnsi="Times New Roman"/>
          <w:sz w:val="28"/>
          <w:szCs w:val="28"/>
          <w:lang w:val="en-US" w:eastAsia="bg-BG"/>
        </w:rPr>
        <w:t>a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вняват три вълни на нарастване, които постепенно изострят напрежението и логично 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очват развитието към главната кулминация, разположена непосредствено преди репризата.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Подобно развитие със значително нарастване и подготовка на главната кулминация от дълбочина показва несъмнено влияние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то на симфоничното мислене на Веселин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Стоянов в неговите крупни симфонични произведения.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Пример 4. 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>Веселин Стоянов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кулминационна фаза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3116580"/>
            <wp:effectExtent l="1905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По мащаб средният дял на П1 е най-разгърнатия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в произведението, докато при П2 средният и репризният дял са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сходни като развитие и драматургично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напрежение.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Условно можем да разделим средния дял на П2 отново на три фази, както беше и в П1.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 първата се появява нов тематичен материал, нотните стойности се сгъстяват, има ускоряване на темпото, нарастване на напрежението чрез теситурно изкачване на мелодията, която от напевна в експозиционния дял става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инструментално-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виртуозна.Освен теситурното изкачване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изграждането спомага и динамическото нарастване до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фортисимо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такт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22.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Пример 5. Филип Павлов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20 – 22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5753100" cy="2971800"/>
            <wp:effectExtent l="1905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втората фаза отново се появява нов тематичен материал, което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придава на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формата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характер на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интензивно разгръщане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такт 27 композиторът поставя агогическото означение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0255F">
        <w:rPr>
          <w:rFonts w:ascii="Times New Roman" w:eastAsia="Times New Roman" w:hAnsi="Times New Roman"/>
          <w:sz w:val="28"/>
          <w:szCs w:val="28"/>
          <w:lang w:val="en-GB" w:eastAsia="bg-BG"/>
        </w:rPr>
        <w:t>Rubato</w:t>
      </w:r>
      <w:proofErr w:type="spellEnd"/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, като допълнително има и забавяне в края на първата фраза.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Мелодията е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 интервалов строеж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секунда 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 секста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, а </w:t>
      </w:r>
      <w:r w:rsidRPr="00412256">
        <w:rPr>
          <w:rFonts w:ascii="Times New Roman" w:eastAsia="Times New Roman" w:hAnsi="Times New Roman"/>
          <w:sz w:val="28"/>
          <w:szCs w:val="28"/>
          <w:lang w:eastAsia="bg-BG"/>
        </w:rPr>
        <w:t xml:space="preserve">октавово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дублираният </w:t>
      </w:r>
      <w:r w:rsidRPr="00412256">
        <w:rPr>
          <w:rFonts w:ascii="Times New Roman" w:eastAsia="Times New Roman" w:hAnsi="Times New Roman"/>
          <w:sz w:val="28"/>
          <w:szCs w:val="28"/>
          <w:lang w:eastAsia="bg-BG"/>
        </w:rPr>
        <w:t>бас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491E27">
        <w:rPr>
          <w:rFonts w:ascii="Times New Roman" w:eastAsia="Times New Roman" w:hAnsi="Times New Roman"/>
          <w:sz w:val="28"/>
          <w:szCs w:val="28"/>
          <w:lang w:eastAsia="bg-BG"/>
        </w:rPr>
        <w:t>се разгръща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на интервал умалена квинта.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Пример 6. Филип Павлов</w:t>
      </w:r>
      <w:r w:rsidRPr="00F73BB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– „Прелюд“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т. 27 – 28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lastRenderedPageBreak/>
        <w:drawing>
          <wp:inline distT="0" distB="0" distL="0" distR="0">
            <wp:extent cx="5760720" cy="1577340"/>
            <wp:effectExtent l="1905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Напрежението нараства, за да ни доведе до третата фаза, която е вариан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на първата, но в друга тоналност.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Също както и в П1, тук третата фаза ни води до до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минантовата тоналност, но при Филип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Павлов сякаш няма толкова ясно изразена главна кулминация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водещ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е по-скоро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принципът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на вариационност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Репризата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в двата прелюда се характеризира с връщане в основната тоналност, репризиране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темите от експозицията</w:t>
      </w:r>
      <w:r w:rsidRPr="000C1E9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създаване на усещане за арка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, завършеност и цялостност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музикалната форма.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Ако при Веселин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Стоянов репризата е буквална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(темата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е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същата теситура и тонални съотношения,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темпото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– като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в експозицията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), то при Филип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Павлов репризния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дял е с друга натовареност – темата е претърпяла катарзис, тя се е преобразила, за да достигне до ново измерение. В репризата на П2 тоналността е основната, темата звучи непроменена, но в нисък регистър и с юбилативен акомпанимент в дясната ръка, след което мелодията се прехвърля в дясната ръка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такт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47</w:t>
      </w:r>
      <w:r w:rsidRPr="007326C0">
        <w:rPr>
          <w:rFonts w:ascii="Times New Roman" w:eastAsia="Times New Roman" w:hAnsi="Times New Roman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а красивият изваян акомпанимент –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в лява.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Стигайки до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A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d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ag</w:t>
      </w:r>
      <w:r w:rsidRPr="0050255F">
        <w:rPr>
          <w:rFonts w:ascii="Times New Roman" w:eastAsia="Times New Roman" w:hAnsi="Times New Roman"/>
          <w:sz w:val="28"/>
          <w:szCs w:val="28"/>
          <w:lang w:val="en-GB" w:eastAsia="bg-BG"/>
        </w:rPr>
        <w:t>io</w:t>
      </w:r>
      <w:proofErr w:type="spellEnd"/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такт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52 на П2, фактурата отново става изчистена, акордова и композиторът буквално повтаря втората половина на експозиционния дял, но октава по-ниско и с малки изменения в преходния такт между двете финални фрази.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По същия начин 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еселин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Стоянов разполага второто явяване на темата в репризата – в до диез мажор октава по-ниско от експозиционното излагане.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Финалната тоника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и на двете произведения е в едноименния мажор и прозвучава във висок регистър, сякаш за да ни пренесе в един по-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извисен, „ангелски“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свят.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D2A4E">
        <w:rPr>
          <w:rFonts w:ascii="Times New Roman" w:eastAsia="Times New Roman" w:hAnsi="Times New Roman"/>
          <w:b/>
          <w:sz w:val="28"/>
          <w:szCs w:val="28"/>
          <w:lang w:eastAsia="bg-BG"/>
        </w:rPr>
        <w:t>Пример 7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 Финални каденци на двата прелюда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6164580" cy="1760220"/>
            <wp:effectExtent l="19050" t="0" r="762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Случайност или не, и двете произведения се превръщат в емблематични за творчеството на своите композитори.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Разделени от по-малко от половин век, двата прелюда сякаш принадлежат на една и съща емоционалност, един и същ усет към най-тънките струни на човешката душевност, с която е пропита българската музика и която можем да усетим в най-голямата й пълнота само ние-българите. 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0255F">
        <w:rPr>
          <w:rFonts w:ascii="Times New Roman" w:eastAsia="Times New Roman" w:hAnsi="Times New Roman"/>
          <w:b/>
          <w:sz w:val="28"/>
          <w:szCs w:val="28"/>
          <w:lang w:eastAsia="bg-BG"/>
        </w:rPr>
        <w:t>Използвана литература:</w:t>
      </w:r>
    </w:p>
    <w:p w:rsidR="00892A6E" w:rsidRDefault="00892A6E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A6E">
        <w:rPr>
          <w:rFonts w:ascii="Times New Roman" w:eastAsia="Times New Roman" w:hAnsi="Times New Roman"/>
          <w:i/>
          <w:sz w:val="28"/>
          <w:szCs w:val="28"/>
          <w:lang w:eastAsia="bg-BG"/>
        </w:rPr>
        <w:t>Коларова,Е.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Диалогът традиция – съвременност в българското музикално творчество на ХХ век. С., 2013</w:t>
      </w:r>
    </w:p>
    <w:p w:rsidR="006E158A" w:rsidRDefault="006E158A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A6E">
        <w:rPr>
          <w:rFonts w:ascii="Times New Roman" w:eastAsia="Times New Roman" w:hAnsi="Times New Roman"/>
          <w:i/>
          <w:sz w:val="28"/>
          <w:szCs w:val="28"/>
          <w:lang w:eastAsia="bg-BG"/>
        </w:rPr>
        <w:t>Крачева</w:t>
      </w:r>
      <w:r w:rsidR="00892A6E" w:rsidRPr="00892A6E">
        <w:rPr>
          <w:rFonts w:ascii="Times New Roman" w:eastAsia="Times New Roman" w:hAnsi="Times New Roman"/>
          <w:i/>
          <w:sz w:val="28"/>
          <w:szCs w:val="28"/>
          <w:lang w:eastAsia="bg-BG"/>
        </w:rPr>
        <w:t>, Л</w:t>
      </w:r>
      <w:r w:rsidRPr="00892A6E">
        <w:rPr>
          <w:rFonts w:ascii="Times New Roman" w:eastAsia="Times New Roman" w:hAnsi="Times New Roman"/>
          <w:i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Творби и творци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92A6E">
        <w:rPr>
          <w:rFonts w:ascii="Times New Roman" w:eastAsia="Times New Roman" w:hAnsi="Times New Roman"/>
          <w:sz w:val="28"/>
          <w:szCs w:val="28"/>
          <w:lang w:eastAsia="bg-BG"/>
        </w:rPr>
        <w:t>С.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892A6E">
        <w:rPr>
          <w:rFonts w:ascii="Times New Roman" w:eastAsia="Times New Roman" w:hAnsi="Times New Roman"/>
          <w:sz w:val="28"/>
          <w:szCs w:val="28"/>
          <w:lang w:eastAsia="bg-BG"/>
        </w:rPr>
        <w:t xml:space="preserve">2006 </w:t>
      </w:r>
    </w:p>
    <w:p w:rsidR="00892A6E" w:rsidRPr="0050255F" w:rsidRDefault="00892A6E" w:rsidP="00892A6E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sz w:val="28"/>
          <w:szCs w:val="28"/>
          <w:lang w:eastAsia="bg-BG"/>
        </w:rPr>
      </w:pPr>
      <w:r w:rsidRPr="00892A6E">
        <w:rPr>
          <w:rFonts w:ascii="Times New Roman" w:eastAsia="Times New Roman" w:hAnsi="Times New Roman"/>
          <w:i/>
          <w:sz w:val="28"/>
          <w:szCs w:val="28"/>
          <w:lang w:eastAsia="bg-BG"/>
        </w:rPr>
        <w:t>Стоянов, П.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>Българска музика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С.</w:t>
      </w:r>
      <w:r w:rsidRPr="0050255F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1962</w:t>
      </w: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E158A" w:rsidRPr="0050255F" w:rsidRDefault="006E158A" w:rsidP="006E158A">
      <w:pPr>
        <w:shd w:val="clear" w:color="auto" w:fill="FFFFFF"/>
        <w:tabs>
          <w:tab w:val="left" w:pos="7759"/>
        </w:tabs>
        <w:spacing w:before="0" w:after="107" w:line="150" w:lineRule="atLeast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3135" w:rsidRDefault="005F3135"/>
    <w:sectPr w:rsidR="005F3135" w:rsidSect="00E5536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E9" w:rsidRDefault="003D01E9" w:rsidP="006E158A">
      <w:pPr>
        <w:spacing w:before="0" w:after="0" w:line="240" w:lineRule="auto"/>
      </w:pPr>
      <w:r>
        <w:separator/>
      </w:r>
    </w:p>
  </w:endnote>
  <w:endnote w:type="continuationSeparator" w:id="0">
    <w:p w:rsidR="003D01E9" w:rsidRDefault="003D01E9" w:rsidP="006E15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9A" w:rsidRDefault="00370C91">
    <w:pPr>
      <w:pStyle w:val="Footer"/>
      <w:jc w:val="center"/>
    </w:pPr>
    <w:r>
      <w:fldChar w:fldCharType="begin"/>
    </w:r>
    <w:r w:rsidR="00F83CFA">
      <w:instrText xml:space="preserve"> PAGE   \* MERGEFORMAT </w:instrText>
    </w:r>
    <w:r>
      <w:fldChar w:fldCharType="separate"/>
    </w:r>
    <w:r w:rsidR="00E72719">
      <w:rPr>
        <w:noProof/>
      </w:rPr>
      <w:t>10</w:t>
    </w:r>
    <w:r>
      <w:rPr>
        <w:noProof/>
      </w:rPr>
      <w:fldChar w:fldCharType="end"/>
    </w:r>
  </w:p>
  <w:p w:rsidR="0097109A" w:rsidRDefault="003D0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E9" w:rsidRDefault="003D01E9" w:rsidP="006E158A">
      <w:pPr>
        <w:spacing w:before="0" w:after="0" w:line="240" w:lineRule="auto"/>
      </w:pPr>
      <w:r>
        <w:separator/>
      </w:r>
    </w:p>
  </w:footnote>
  <w:footnote w:type="continuationSeparator" w:id="0">
    <w:p w:rsidR="003D01E9" w:rsidRDefault="003D01E9" w:rsidP="006E158A">
      <w:pPr>
        <w:spacing w:before="0" w:after="0" w:line="240" w:lineRule="auto"/>
      </w:pPr>
      <w:r>
        <w:continuationSeparator/>
      </w:r>
    </w:p>
  </w:footnote>
  <w:footnote w:id="1">
    <w:p w:rsidR="006E158A" w:rsidRPr="000C1E9A" w:rsidRDefault="006E158A" w:rsidP="006E158A">
      <w:pPr>
        <w:pStyle w:val="FootnoteText"/>
      </w:pPr>
      <w:r>
        <w:rPr>
          <w:rStyle w:val="FootnoteReference"/>
        </w:rPr>
        <w:footnoteRef/>
      </w:r>
      <w:r>
        <w:t xml:space="preserve"> Интервю на проф. д.и. Филип Павлов пр</w:t>
      </w:r>
      <w:r w:rsidR="000A6EA6">
        <w:t>е</w:t>
      </w:r>
      <w:r>
        <w:t>д БНР</w:t>
      </w:r>
    </w:p>
  </w:footnote>
  <w:footnote w:id="2">
    <w:p w:rsidR="00C36275" w:rsidRPr="000A6EA6" w:rsidRDefault="00C36275" w:rsidP="00C36275">
      <w:pPr>
        <w:pStyle w:val="FootnoteText"/>
        <w:jc w:val="both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E72719">
        <w:rPr>
          <w:color w:val="000000" w:themeColor="text1"/>
        </w:rPr>
        <w:t xml:space="preserve">Този паралел между двете творби се разработва </w:t>
      </w:r>
      <w:r w:rsidR="008D2BFE" w:rsidRPr="00E72719">
        <w:rPr>
          <w:color w:val="000000" w:themeColor="text1"/>
        </w:rPr>
        <w:t xml:space="preserve">по-подробно </w:t>
      </w:r>
      <w:r w:rsidRPr="00E72719">
        <w:rPr>
          <w:color w:val="000000" w:themeColor="text1"/>
        </w:rPr>
        <w:t xml:space="preserve">от Емилия Коларова в нейната книга „Диалогът традиция-съвременност в българското музикално творчество на ХХ век”, с.65 </w:t>
      </w:r>
    </w:p>
    <w:p w:rsidR="00C36275" w:rsidRDefault="00C36275">
      <w:pPr>
        <w:pStyle w:val="FootnoteText"/>
      </w:pPr>
    </w:p>
  </w:footnote>
  <w:footnote w:id="3">
    <w:p w:rsidR="006E158A" w:rsidRPr="005F55A4" w:rsidRDefault="006E158A" w:rsidP="006E158A">
      <w:pPr>
        <w:shd w:val="clear" w:color="auto" w:fill="FFFFFF"/>
        <w:tabs>
          <w:tab w:val="left" w:pos="7759"/>
        </w:tabs>
        <w:spacing w:before="0" w:after="107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5A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5F55A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хода на анализа прелю</w:t>
      </w:r>
      <w:r w:rsidRPr="005F55A4">
        <w:rPr>
          <w:rFonts w:ascii="Times New Roman" w:hAnsi="Times New Roman"/>
          <w:sz w:val="24"/>
          <w:szCs w:val="24"/>
        </w:rPr>
        <w:t xml:space="preserve">дите на Веселин Стоянов и на Филип Павлов </w:t>
      </w:r>
      <w:r w:rsidRPr="005F55A4">
        <w:rPr>
          <w:rFonts w:ascii="Times New Roman" w:eastAsia="Times New Roman" w:hAnsi="Times New Roman"/>
          <w:sz w:val="24"/>
          <w:szCs w:val="24"/>
          <w:lang w:eastAsia="bg-BG"/>
        </w:rPr>
        <w:t>ще бъдат обозначавани с П1 и П2 за улеснение на сравнителния метод и за облекчаване на изложението.</w:t>
      </w:r>
    </w:p>
    <w:p w:rsidR="006E158A" w:rsidRDefault="006E158A" w:rsidP="006E158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A"/>
    <w:rsid w:val="000A6EA6"/>
    <w:rsid w:val="000C4E5A"/>
    <w:rsid w:val="002E33BE"/>
    <w:rsid w:val="00370C91"/>
    <w:rsid w:val="003D01E9"/>
    <w:rsid w:val="00425540"/>
    <w:rsid w:val="005D2FD5"/>
    <w:rsid w:val="005F3135"/>
    <w:rsid w:val="006E158A"/>
    <w:rsid w:val="00805731"/>
    <w:rsid w:val="00892A6E"/>
    <w:rsid w:val="008D2BFE"/>
    <w:rsid w:val="00AB79DE"/>
    <w:rsid w:val="00B238C3"/>
    <w:rsid w:val="00B25143"/>
    <w:rsid w:val="00B65E2E"/>
    <w:rsid w:val="00C36275"/>
    <w:rsid w:val="00E72719"/>
    <w:rsid w:val="00F019CF"/>
    <w:rsid w:val="00F12FAD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8A"/>
    <w:pPr>
      <w:spacing w:before="480" w:after="200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15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5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1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58A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15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8A"/>
    <w:pPr>
      <w:spacing w:before="480" w:after="200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15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5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1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58A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15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F17E-6F92-42B1-A077-61FC766B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Lubomira</cp:lastModifiedBy>
  <cp:revision>2</cp:revision>
  <dcterms:created xsi:type="dcterms:W3CDTF">2017-09-19T12:54:00Z</dcterms:created>
  <dcterms:modified xsi:type="dcterms:W3CDTF">2017-09-19T12:54:00Z</dcterms:modified>
</cp:coreProperties>
</file>